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both"/>
        <w:rPr>
          <w:rFonts w:ascii="Arial" w:hAnsi="Arial" w:cs="Arial"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ПРОЕКТНАЯ ДЕКЛАРАЦИЯ</w:t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18 мая 2017г.</w:t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объекту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Многоквартирный многоэтажный жилой дом №452 (по генплану)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II</w:t>
      </w:r>
      <w:r w:rsidRPr="003333D4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этап строительства многоквартирных многоэтажных домов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назначения, в том числе с автостоянками</w:t>
      </w: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Генеральный директор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 Сидоренко И.Л.</w:t>
      </w: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Главный бухгалтер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333D4" w:rsidRDefault="003333D4" w:rsidP="003333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</w:rPr>
        <w:t xml:space="preserve">______________________ </w:t>
      </w:r>
      <w:proofErr w:type="spellStart"/>
      <w:r>
        <w:rPr>
          <w:rFonts w:ascii="Arial" w:hAnsi="Arial" w:cs="Arial"/>
          <w:b/>
          <w:bCs/>
          <w:iCs/>
        </w:rPr>
        <w:t>Мисникова</w:t>
      </w:r>
      <w:proofErr w:type="spellEnd"/>
      <w:r>
        <w:rPr>
          <w:rFonts w:ascii="Arial" w:hAnsi="Arial" w:cs="Arial"/>
          <w:b/>
          <w:bCs/>
          <w:iCs/>
        </w:rPr>
        <w:t xml:space="preserve"> Е.Д.</w:t>
      </w:r>
    </w:p>
    <w:p w:rsidR="003333D4" w:rsidRDefault="003333D4" w:rsidP="003333D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</w:rPr>
        <w:br w:type="page"/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Проектная декларация</w:t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18 мая 2017г.</w:t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объекту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Многоквартирный многоэтажный жилой дом №452 (по генплану)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</w:t>
      </w:r>
    </w:p>
    <w:p w:rsidR="003333D4" w:rsidRDefault="003333D4" w:rsidP="003333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II</w:t>
      </w:r>
      <w:r>
        <w:rPr>
          <w:rFonts w:ascii="Arial" w:hAnsi="Arial" w:cs="Arial"/>
          <w:b/>
          <w:bCs/>
          <w:iCs/>
        </w:rPr>
        <w:t xml:space="preserve"> этап строительства многоквартирных многоэтажных домов</w:t>
      </w:r>
    </w:p>
    <w:p w:rsidR="003333D4" w:rsidRDefault="003333D4" w:rsidP="003333D4">
      <w:pPr>
        <w:pStyle w:val="ConsPlusTitle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 помещениями общественного назначения, в том числе с автостоянками</w:t>
      </w:r>
    </w:p>
    <w:p w:rsidR="003333D4" w:rsidRDefault="003333D4" w:rsidP="003333D4">
      <w:pPr>
        <w:pStyle w:val="ConsPlusTitle"/>
        <w:rPr>
          <w:rFonts w:ascii="Times New Roman" w:hAnsi="Times New Roman" w:cs="Times New Roman"/>
          <w:bCs/>
          <w:iCs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336"/>
        <w:gridCol w:w="1316"/>
        <w:gridCol w:w="141"/>
        <w:gridCol w:w="1114"/>
        <w:gridCol w:w="335"/>
        <w:gridCol w:w="106"/>
        <w:gridCol w:w="523"/>
        <w:gridCol w:w="179"/>
        <w:gridCol w:w="148"/>
        <w:gridCol w:w="53"/>
        <w:gridCol w:w="360"/>
        <w:gridCol w:w="397"/>
        <w:gridCol w:w="176"/>
        <w:gridCol w:w="1387"/>
        <w:gridCol w:w="1065"/>
        <w:gridCol w:w="110"/>
        <w:gridCol w:w="27"/>
        <w:gridCol w:w="89"/>
        <w:gridCol w:w="447"/>
        <w:gridCol w:w="1362"/>
        <w:gridCol w:w="92"/>
        <w:gridCol w:w="98"/>
        <w:gridCol w:w="565"/>
        <w:gridCol w:w="25"/>
        <w:gridCol w:w="107"/>
        <w:gridCol w:w="19"/>
        <w:gridCol w:w="34"/>
        <w:gridCol w:w="1384"/>
        <w:gridCol w:w="141"/>
        <w:gridCol w:w="1124"/>
        <w:gridCol w:w="14"/>
        <w:gridCol w:w="1733"/>
      </w:tblGrid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о застройщике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3333D4" w:rsidTr="003333D4">
        <w:trPr>
          <w:trHeight w:val="244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rPr>
          <w:trHeight w:val="46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630061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1.2.5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1.2.6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1.2.7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1.2.8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 №26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1.2.9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1.3. О режиме работы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Рабочие дни недели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Понедельник-пятница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Рабочее время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 8-30 до 18-00</w:t>
            </w:r>
          </w:p>
        </w:tc>
      </w:tr>
      <w:tr w:rsidR="003333D4" w:rsidTr="003333D4">
        <w:trPr>
          <w:trHeight w:val="307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+7(383)347-81-01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-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3333D4" w:rsidTr="003333D4">
        <w:trPr>
          <w:trHeight w:val="7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информационно-телекоммуникационной сети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"Интернет"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em-nsk.ru</w:t>
            </w: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0" w:name="P74"/>
            <w:bookmarkEnd w:id="0"/>
            <w:r>
              <w:rPr>
                <w:rFonts w:asciiTheme="minorHAnsi" w:hAnsiTheme="minorHAnsi" w:cstheme="minorHAnsi"/>
                <w:szCs w:val="22"/>
                <w:lang w:eastAsia="en-US"/>
              </w:rPr>
              <w:t>1.5.1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" w:name="P76"/>
            <w:bookmarkEnd w:id="1"/>
            <w:r>
              <w:rPr>
                <w:rFonts w:asciiTheme="minorHAnsi" w:hAnsiTheme="minorHAnsi" w:cstheme="minorHAnsi"/>
                <w:szCs w:val="22"/>
                <w:lang w:eastAsia="en-US"/>
              </w:rPr>
              <w:t>1.5.2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Иван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Леонидович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Генеральный директор</w:t>
            </w:r>
          </w:p>
        </w:tc>
      </w:tr>
      <w:tr w:rsidR="003333D4" w:rsidTr="003333D4"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" w:name="P82"/>
            <w:bookmarkEnd w:id="2"/>
            <w:r>
              <w:rPr>
                <w:rFonts w:asciiTheme="minorHAnsi" w:hAnsiTheme="minorHAnsi" w:cstheme="minorHAnsi"/>
                <w:szCs w:val="22"/>
                <w:lang w:eastAsia="en-US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1.6.1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2. О государственной регистрации застройщика</w:t>
            </w: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5410112902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1025403908232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Год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04.08.1992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" w:name="P94"/>
            <w:bookmarkEnd w:id="3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74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(полное наименование) без указания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" w:name="P103"/>
            <w:bookmarkEnd w:id="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3.2.5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3.2.6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3.2.7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" w:name="P118"/>
            <w:bookmarkEnd w:id="5"/>
            <w:r>
              <w:rPr>
                <w:rFonts w:asciiTheme="minorHAnsi" w:hAnsiTheme="minorHAnsi" w:cstheme="minorHAnsi"/>
                <w:szCs w:val="22"/>
                <w:lang w:eastAsia="en-US"/>
              </w:rPr>
              <w:t>3.3. Об учредителе - физическом лице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Каличенко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Владимир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Андреевич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Елена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Оровна</w:t>
            </w:r>
            <w:proofErr w:type="spellEnd"/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color w:val="0000FF"/>
                <w:szCs w:val="22"/>
                <w:lang w:eastAsia="en-US"/>
              </w:rPr>
            </w:pPr>
            <w:bookmarkStart w:id="6" w:name="P132"/>
            <w:bookmarkEnd w:id="6"/>
            <w:r>
              <w:rPr>
                <w:rFonts w:asciiTheme="minorHAnsi" w:hAnsiTheme="minorHAnsi" w:cstheme="minorHAnsi"/>
                <w:szCs w:val="22"/>
                <w:lang w:eastAsia="en-US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" w:name="P133"/>
            <w:bookmarkEnd w:id="7"/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№406 (по ГП) (на земельном участке с кадастровым № 54:35:041060:1024, площадью 5826,0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ул.Гребенщикова,1/5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Элемент улично-дорожной сети 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5/1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8" w:name="P153"/>
            <w:bookmarkEnd w:id="8"/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31.12.2013г.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54303000-370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9" w:name="P157"/>
            <w:bookmarkEnd w:id="9"/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Управление архитектурно-строительной инспекции мэрии города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Новосибирска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№420 (по ГП) (на земельном участке с кадастровым № 54:35:041060:1040, площадью 9756,0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ул.Гребенщикова,1/3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24/2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12.02.2014г.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54303000-37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Управление архитектурно-строительной инспекции мэрии города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Новосибирска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№412 (по ГП) (на земельном участке с кадастровым № 54:35:041060:1028, площадью 6755,0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ул.Гребенщикова,1/4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22/3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14.03.2014г.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54303000-62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Управление архитектурно-строительной инспекции мэрии города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Новосибирска</w:t>
            </w:r>
          </w:p>
        </w:tc>
      </w:tr>
      <w:tr w:rsidR="003333D4" w:rsidTr="003333D4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ул.Гребенщикова,1/7 стр.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30.06.2014г.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lastRenderedPageBreak/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54303000-138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ул.Мясниковой,24/1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13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24/1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05.12.2014г.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lastRenderedPageBreak/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302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3333D4" w:rsidTr="003333D4">
        <w:trPr>
          <w:trHeight w:val="5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Дата выдачи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19.12.2014г.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3333D4" w:rsidTr="003333D4">
        <w:trPr>
          <w:trHeight w:val="42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02.04.2015г.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54303000-330-и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ул.Мясниковой,22/1 стр.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22/1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22.04.2015г.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54303000-120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10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№1,2 многоэтажного жилого дома №417 (по генплану) с помещениями общественного назначения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 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</w:p>
        </w:tc>
      </w:tr>
      <w:tr w:rsidR="003333D4" w:rsidTr="003333D4">
        <w:trPr>
          <w:trHeight w:val="19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27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22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16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3333D4" w:rsidTr="003333D4">
        <w:trPr>
          <w:trHeight w:val="11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Индивидуализирующее объект, группу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Комплексное освоение в целях жилищного строительства четвертой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очереди жилого микрорайона «Родники»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3333D4" w:rsidTr="003333D4">
        <w:trPr>
          <w:trHeight w:val="54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26.06.2015г.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54303000-171-2015</w:t>
            </w:r>
          </w:p>
        </w:tc>
      </w:tr>
      <w:tr w:rsidR="003333D4" w:rsidTr="003333D4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№407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30.06.2015г.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54303000-175-2015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51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№408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18.03.2016г.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54303000-54-2016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421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3333D4" w:rsidTr="003333D4">
        <w:trPr>
          <w:trHeight w:val="46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31.05.2016г.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54303000-114-2016</w:t>
            </w:r>
          </w:p>
        </w:tc>
      </w:tr>
      <w:tr w:rsidR="003333D4" w:rsidTr="003333D4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8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26.08.2016г.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54303000-187-2016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40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11.11.2016г.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54303000-187и-2016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5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№409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ул.Мясниковой,18 стр. 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43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54303000-300-2016</w:t>
            </w:r>
          </w:p>
        </w:tc>
      </w:tr>
      <w:tr w:rsidR="003333D4" w:rsidTr="003333D4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ул.Мясниковой,22 стр. 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54303000-301-2016</w:t>
            </w:r>
          </w:p>
        </w:tc>
      </w:tr>
      <w:tr w:rsidR="003333D4" w:rsidTr="003333D4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ул.Мясниковой,24 стр. 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54303000-302-2016</w:t>
            </w:r>
          </w:p>
        </w:tc>
      </w:tr>
      <w:tr w:rsidR="003333D4" w:rsidTr="003333D4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0" w:name="P160"/>
            <w:bookmarkEnd w:id="10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Некоммерческое партнерство Строителей Сибирского региона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5406557730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1112.08-2009-5410112902-С-044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23.05.2013г.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Саморегулируемая организация, основанная на членстве лиц, осуществляющих строительство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1" w:name="P171"/>
            <w:bookmarkEnd w:id="11"/>
            <w:r>
              <w:rPr>
                <w:rFonts w:asciiTheme="minorHAnsi" w:hAnsiTheme="minorHAnsi" w:cstheme="minorHAnsi"/>
                <w:szCs w:val="22"/>
                <w:lang w:eastAsia="en-US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6.1.1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отчетная дата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30.09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.2017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2" w:name="P180"/>
            <w:bookmarkEnd w:id="12"/>
            <w:r>
              <w:rPr>
                <w:rFonts w:asciiTheme="minorHAnsi" w:hAnsiTheme="minorHAnsi" w:cstheme="minorHAnsi"/>
                <w:szCs w:val="22"/>
                <w:lang w:eastAsia="en-US"/>
              </w:rPr>
              <w:t>6.1.2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чистой прибыли (убытков) по данным промежуточной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36467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6.1.3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кредиторской задолженности по данным промежуточной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2320884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3" w:name="P184"/>
            <w:bookmarkEnd w:id="13"/>
            <w:r>
              <w:rPr>
                <w:rFonts w:asciiTheme="minorHAnsi" w:hAnsiTheme="minorHAnsi" w:cstheme="minorHAnsi"/>
                <w:szCs w:val="22"/>
                <w:lang w:eastAsia="en-US"/>
              </w:rPr>
              <w:t>6.1.4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дебиторской задолженности по данным промежуточной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1134895</w:t>
            </w:r>
            <w:bookmarkStart w:id="14" w:name="_GoBack"/>
            <w:bookmarkEnd w:id="1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тыс.руб</w:t>
            </w:r>
            <w:proofErr w:type="spellEnd"/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5" w:name="P186"/>
            <w:bookmarkEnd w:id="15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7.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2 статьи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6" w:name="P188"/>
            <w:bookmarkEnd w:id="16"/>
            <w:r>
              <w:rPr>
                <w:rFonts w:asciiTheme="minorHAnsi" w:hAnsiTheme="minorHAnsi" w:cstheme="minorHAnsi"/>
                <w:szCs w:val="22"/>
                <w:lang w:eastAsia="en-US"/>
              </w:rPr>
              <w:t>7.1.1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(складочного) капитала застройщика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установленным требованиям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Соответствует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7.1.2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Процедуры ликвидации юридического 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проводятся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7.1.3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введении одной из процедур,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применяемых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деле о банкротстве в соответствии с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законодательством Российской Федерации о несостоятельности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банкротстве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), в отношении юридического 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7.1.4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качестве меры административного наказания юридического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Отсутствует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7.1.5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7.1.6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Отсутствует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7.1.7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7" w:name="P203"/>
            <w:bookmarkEnd w:id="17"/>
            <w:r>
              <w:rPr>
                <w:rFonts w:asciiTheme="minorHAnsi" w:hAnsiTheme="minorHAnsi" w:cstheme="minorHAnsi"/>
                <w:szCs w:val="22"/>
                <w:lang w:eastAsia="en-US"/>
              </w:rPr>
              <w:t>7.1.8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Отсутствует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8" w:name="P206"/>
            <w:bookmarkEnd w:id="18"/>
            <w:r>
              <w:rPr>
                <w:rFonts w:asciiTheme="minorHAnsi" w:hAnsiTheme="minorHAnsi" w:cstheme="minorHAnsi"/>
                <w:szCs w:val="22"/>
                <w:lang w:eastAsia="en-US"/>
              </w:rPr>
              <w:t>7.1.9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указанных в </w:t>
            </w:r>
            <w:hyperlink r:id="rId7" w:anchor="P20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9" w:name="P208"/>
            <w:bookmarkEnd w:id="19"/>
            <w:r>
              <w:rPr>
                <w:rFonts w:asciiTheme="minorHAnsi" w:hAnsiTheme="minorHAnsi" w:cstheme="minorHAnsi"/>
                <w:szCs w:val="22"/>
                <w:lang w:eastAsia="en-US"/>
              </w:rPr>
              <w:t>7.1.10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8" w:anchor="P20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7.1.11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7.1.12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применялись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0" w:name="P214"/>
            <w:bookmarkEnd w:id="20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3 статьи 15.3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7.2.1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сопоручителей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сопоручителями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7.2.2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7.2.3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7.2.4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7.2.5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7.2.6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юридического лица жилых помещений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7.2.7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1" w:name="P230"/>
            <w:bookmarkEnd w:id="21"/>
            <w:r>
              <w:rPr>
                <w:rFonts w:asciiTheme="minorHAnsi" w:hAnsiTheme="minorHAnsi" w:cstheme="minorHAnsi"/>
                <w:szCs w:val="22"/>
                <w:lang w:eastAsia="en-US"/>
              </w:rPr>
              <w:t>7.2.8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2" w:name="P232"/>
            <w:bookmarkEnd w:id="22"/>
            <w:r>
              <w:rPr>
                <w:rFonts w:asciiTheme="minorHAnsi" w:hAnsiTheme="minorHAnsi" w:cstheme="minorHAnsi"/>
                <w:szCs w:val="22"/>
                <w:lang w:eastAsia="en-US"/>
              </w:rPr>
              <w:t>7.2.9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указанных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</w:t>
            </w:r>
            <w:hyperlink r:id="rId10" w:anchor="P230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3" w:name="P234"/>
            <w:bookmarkEnd w:id="23"/>
            <w:r>
              <w:rPr>
                <w:rFonts w:asciiTheme="minorHAnsi" w:hAnsiTheme="minorHAnsi" w:cstheme="minorHAnsi"/>
                <w:szCs w:val="22"/>
                <w:lang w:eastAsia="en-US"/>
              </w:rPr>
              <w:t>7.2.10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11" w:anchor="P232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7.2.11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7.2.12</w:t>
            </w:r>
          </w:p>
        </w:tc>
        <w:tc>
          <w:tcPr>
            <w:tcW w:w="6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4" w:name="P240"/>
            <w:bookmarkEnd w:id="24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333D4" w:rsidTr="003333D4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 Иная информация о застройщике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8.1.1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информация: о наградах, дипломах, рейтингах, присвоенных застройщику, иная информация.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– «За качество введенного жилья в 2004 году»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Почетная грамота губернатора Новосибирской области – «За особый вклад в социально-экономическое развитие НСО, высокие производственные и профессиональные достижения»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2009г. Диплом Мэрии г. Новосибирска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–«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За наибольший результат по вводу в эксплуатацию многоэтажных жилых домов в 2009 году»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Почетная грамота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2015г.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высокий уровень организации и культуру производства при строительстве объектов дошкольного образования»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Информация о проекте строительства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5" w:name="P245"/>
            <w:bookmarkEnd w:id="25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6" w:name="P247"/>
            <w:bookmarkEnd w:id="26"/>
            <w:r>
              <w:rPr>
                <w:rFonts w:asciiTheme="minorHAnsi" w:hAnsiTheme="minorHAnsi" w:cstheme="minorHAnsi"/>
                <w:szCs w:val="22"/>
                <w:lang w:eastAsia="en-US"/>
              </w:rPr>
              <w:t>9.1.1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7" w:name="P249"/>
            <w:bookmarkEnd w:id="27"/>
            <w:r>
              <w:rPr>
                <w:rFonts w:asciiTheme="minorHAnsi" w:hAnsiTheme="minorHAnsi" w:cstheme="minorHAnsi"/>
                <w:szCs w:val="22"/>
                <w:lang w:eastAsia="en-US"/>
              </w:rPr>
              <w:t>9.1.2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документацией по планировке территории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8" w:name="P251"/>
            <w:bookmarkEnd w:id="28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9.2. О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видах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Многоквартирный дом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9.2.3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9.2.4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9.2.5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9.2.6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Округ в населенном пункте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9.2.7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в населенном пункте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Калининский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9.2.8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обозначения улицы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9.2.9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9.2.10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28стр.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9.2.11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Литера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9.2.12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Корпус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9.2.13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Строение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9.2.14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Владение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9.2.15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Блок-секция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9.2.16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Уточнение адреса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9.2.17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9.2.18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Минимальное количество этажей в объекте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9.2.19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Максимальное количество этажей в объекте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9" w:name="P290"/>
            <w:bookmarkEnd w:id="29"/>
            <w:r>
              <w:rPr>
                <w:rFonts w:asciiTheme="minorHAnsi" w:hAnsiTheme="minorHAnsi" w:cstheme="minorHAnsi"/>
                <w:szCs w:val="22"/>
                <w:lang w:eastAsia="en-US"/>
              </w:rPr>
              <w:t>9.2.20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 объекта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27232,7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9.2.21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наружных стен и каркаса объекта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 подполье, первый этаж – монолитный железобетонный каркас.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2-17 этажи Железобетонная панель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9.2.22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Железобетонная плита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0" w:name="P296"/>
            <w:bookmarkEnd w:id="30"/>
            <w:r>
              <w:rPr>
                <w:rFonts w:asciiTheme="minorHAnsi" w:hAnsiTheme="minorHAnsi" w:cstheme="minorHAnsi"/>
                <w:szCs w:val="22"/>
                <w:lang w:eastAsia="en-US"/>
              </w:rPr>
              <w:t>9.2.23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  <w:t>А++ (очень высокий)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1" w:name="P298"/>
            <w:bookmarkEnd w:id="31"/>
            <w:r>
              <w:rPr>
                <w:rFonts w:asciiTheme="minorHAnsi" w:hAnsiTheme="minorHAnsi" w:cstheme="minorHAnsi"/>
                <w:szCs w:val="22"/>
                <w:lang w:eastAsia="en-US"/>
              </w:rPr>
              <w:t>9.2.24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Сейсмостойкость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2"/>
                <w:lang w:eastAsia="en-US"/>
              </w:rPr>
              <w:t>6 бал</w:t>
            </w:r>
            <w:r>
              <w:rPr>
                <w:rFonts w:asciiTheme="minorHAnsi" w:hAnsiTheme="minorHAnsi" w:cstheme="minorHAnsi"/>
                <w:color w:val="000000"/>
                <w:spacing w:val="-7"/>
                <w:szCs w:val="22"/>
                <w:lang w:eastAsia="en-US"/>
              </w:rPr>
              <w:t>лов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10.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2" w:name="P301"/>
            <w:bookmarkEnd w:id="32"/>
            <w:r>
              <w:rPr>
                <w:rFonts w:asciiTheme="minorHAnsi" w:hAnsiTheme="minorHAnsi" w:cstheme="minorHAnsi"/>
                <w:szCs w:val="22"/>
                <w:lang w:eastAsia="en-US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Даты внесения изменений в договор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3" w:name="P310"/>
            <w:bookmarkEnd w:id="33"/>
            <w:r>
              <w:rPr>
                <w:rFonts w:asciiTheme="minorHAnsi" w:hAnsiTheme="minorHAnsi" w:cstheme="minorHAnsi"/>
                <w:szCs w:val="22"/>
                <w:lang w:eastAsia="en-US"/>
              </w:rPr>
              <w:t>10.2. О лицах, выполнивших инженерные изыскания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«Изыскатель-С»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10.2.6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5410114988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4" w:name="P323"/>
            <w:bookmarkEnd w:id="34"/>
            <w:r>
              <w:rPr>
                <w:rFonts w:asciiTheme="minorHAnsi" w:hAnsiTheme="minorHAnsi" w:cstheme="minorHAnsi"/>
                <w:szCs w:val="22"/>
                <w:lang w:eastAsia="en-US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ПКБ 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5410033979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5" w:name="P336"/>
            <w:bookmarkEnd w:id="35"/>
            <w:r>
              <w:rPr>
                <w:rFonts w:asciiTheme="minorHAnsi" w:hAnsiTheme="minorHAnsi" w:cstheme="minorHAnsi"/>
                <w:szCs w:val="22"/>
                <w:lang w:eastAsia="en-US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положительное заключение экспертизы проектной документации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14.03.2017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54-2-1-2-0019-17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«Эксперт-Проект»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10.4.6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5405475756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6" w:name="P349"/>
            <w:bookmarkEnd w:id="36"/>
            <w:r>
              <w:rPr>
                <w:rFonts w:asciiTheme="minorHAnsi" w:hAnsiTheme="minorHAnsi" w:cstheme="minorHAnsi"/>
                <w:szCs w:val="22"/>
                <w:lang w:eastAsia="en-US"/>
              </w:rPr>
              <w:t>10.5. О результатах государственной экологической экспертизы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7" w:name="P360"/>
            <w:bookmarkEnd w:id="37"/>
            <w:r>
              <w:rPr>
                <w:rFonts w:asciiTheme="minorHAnsi" w:hAnsiTheme="minorHAnsi" w:cstheme="minorHAnsi"/>
                <w:szCs w:val="22"/>
                <w:lang w:eastAsia="en-US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10.6.1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Микрорайон «Родники»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11. О разрешении на строительство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11.1.1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303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000-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35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-201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11.1.2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04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8" w:name="P369"/>
            <w:bookmarkEnd w:id="38"/>
            <w:r>
              <w:rPr>
                <w:rFonts w:asciiTheme="minorHAnsi" w:hAnsiTheme="minorHAnsi" w:cstheme="minorHAnsi"/>
                <w:szCs w:val="22"/>
                <w:lang w:eastAsia="en-US"/>
              </w:rPr>
              <w:t>11.1.3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.2018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11.1.4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11.1.5</w:t>
            </w:r>
          </w:p>
        </w:tc>
        <w:tc>
          <w:tcPr>
            <w:tcW w:w="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 правах застройщика на земельный участок, на котором осуществляется строительство (создание) многоквартирного дома либо многоквартирных домов 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права застройщика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Право аренды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9" w:name="P379"/>
            <w:bookmarkEnd w:id="39"/>
            <w:r>
              <w:rPr>
                <w:rFonts w:asciiTheme="minorHAnsi" w:hAnsiTheme="minorHAnsi" w:cstheme="minorHAnsi"/>
                <w:szCs w:val="22"/>
                <w:lang w:eastAsia="en-US"/>
              </w:rPr>
              <w:t>12.1.2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Договор аренды земельного участка от 22.10.2009 №8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тко</w:t>
            </w:r>
            <w:proofErr w:type="spellEnd"/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Дополнительное соглашение №5 к Договору аренды земельного участка от 22.10.2009 №8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тко</w:t>
            </w:r>
            <w:proofErr w:type="spellEnd"/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12.1.4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30.12.2016г. 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0" w:name="P385"/>
            <w:bookmarkEnd w:id="40"/>
            <w:r>
              <w:rPr>
                <w:rFonts w:asciiTheme="minorHAnsi" w:hAnsiTheme="minorHAnsi" w:cstheme="minorHAnsi"/>
                <w:szCs w:val="22"/>
                <w:lang w:eastAsia="en-US"/>
              </w:rPr>
              <w:t>12.1.5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13.03.2017г.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1" w:name="P387"/>
            <w:bookmarkEnd w:id="41"/>
            <w:r>
              <w:rPr>
                <w:rFonts w:asciiTheme="minorHAnsi" w:hAnsiTheme="minorHAnsi" w:cstheme="minorHAnsi"/>
                <w:szCs w:val="22"/>
                <w:lang w:eastAsia="en-US"/>
              </w:rPr>
              <w:t>12.1.6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31.12.2019г.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2" w:name="P389"/>
            <w:bookmarkEnd w:id="42"/>
            <w:r>
              <w:rPr>
                <w:rFonts w:asciiTheme="minorHAnsi" w:hAnsiTheme="minorHAnsi" w:cstheme="minorHAnsi"/>
                <w:szCs w:val="22"/>
                <w:lang w:eastAsia="en-US"/>
              </w:rPr>
              <w:t>12.1.7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изменений в договор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3" w:name="P391"/>
            <w:bookmarkEnd w:id="43"/>
            <w:r>
              <w:rPr>
                <w:rFonts w:asciiTheme="minorHAnsi" w:hAnsiTheme="minorHAnsi" w:cstheme="minorHAnsi"/>
                <w:szCs w:val="22"/>
                <w:lang w:eastAsia="en-US"/>
              </w:rPr>
              <w:t>12.1.8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12.1.9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12.1.10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4" w:name="P397"/>
            <w:bookmarkEnd w:id="44"/>
            <w:r>
              <w:rPr>
                <w:rFonts w:asciiTheme="minorHAnsi" w:hAnsiTheme="minorHAnsi" w:cstheme="minorHAnsi"/>
                <w:szCs w:val="22"/>
                <w:lang w:eastAsia="en-US"/>
              </w:rPr>
              <w:t>12.1.11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5" w:name="P400"/>
            <w:bookmarkEnd w:id="45"/>
            <w:r>
              <w:rPr>
                <w:rFonts w:asciiTheme="minorHAnsi" w:hAnsiTheme="minorHAnsi" w:cstheme="minorHAnsi"/>
                <w:szCs w:val="22"/>
                <w:lang w:eastAsia="en-US"/>
              </w:rPr>
              <w:t>12.2.1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Собственник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Мэрия города Новосибирска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6" w:name="P402"/>
            <w:bookmarkEnd w:id="46"/>
            <w:r>
              <w:rPr>
                <w:rFonts w:asciiTheme="minorHAnsi" w:hAnsiTheme="minorHAnsi" w:cstheme="minorHAnsi"/>
                <w:szCs w:val="22"/>
                <w:lang w:eastAsia="en-US"/>
              </w:rPr>
              <w:t>12.2.2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7" w:name="P404"/>
            <w:bookmarkEnd w:id="47"/>
            <w:r>
              <w:rPr>
                <w:rFonts w:asciiTheme="minorHAnsi" w:hAnsiTheme="minorHAnsi" w:cstheme="minorHAnsi"/>
                <w:szCs w:val="22"/>
                <w:lang w:eastAsia="en-US"/>
              </w:rPr>
              <w:t>12.2.3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собственника земельного участка, без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8" w:name="P406"/>
            <w:bookmarkEnd w:id="48"/>
            <w:r>
              <w:rPr>
                <w:rFonts w:asciiTheme="minorHAnsi" w:hAnsiTheme="minorHAnsi" w:cstheme="minorHAnsi"/>
                <w:szCs w:val="22"/>
                <w:lang w:eastAsia="en-US"/>
              </w:rPr>
              <w:t>12.2.4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собственника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12.2.5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собственника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9" w:name="P410"/>
            <w:bookmarkEnd w:id="49"/>
            <w:r>
              <w:rPr>
                <w:rFonts w:asciiTheme="minorHAnsi" w:hAnsiTheme="minorHAnsi" w:cstheme="minorHAnsi"/>
                <w:szCs w:val="22"/>
                <w:lang w:eastAsia="en-US"/>
              </w:rPr>
              <w:t>12.2.6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собственника земельного участка (при наличии)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0" w:name="P412"/>
            <w:bookmarkEnd w:id="50"/>
            <w:r>
              <w:rPr>
                <w:rFonts w:asciiTheme="minorHAnsi" w:hAnsiTheme="minorHAnsi" w:cstheme="minorHAnsi"/>
                <w:szCs w:val="22"/>
                <w:lang w:eastAsia="en-US"/>
              </w:rPr>
              <w:t>12.2.7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1" w:name="P414"/>
            <w:bookmarkEnd w:id="51"/>
            <w:r>
              <w:rPr>
                <w:rFonts w:asciiTheme="minorHAnsi" w:hAnsiTheme="minorHAnsi" w:cstheme="minorHAnsi"/>
                <w:szCs w:val="22"/>
                <w:lang w:eastAsia="en-US"/>
              </w:rPr>
              <w:t>12.2.8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Форма собственности на земельный участок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2" w:name="P416"/>
            <w:bookmarkEnd w:id="52"/>
            <w:r>
              <w:rPr>
                <w:rFonts w:asciiTheme="minorHAnsi" w:hAnsiTheme="minorHAnsi" w:cstheme="minorHAnsi"/>
                <w:szCs w:val="22"/>
                <w:lang w:eastAsia="en-US"/>
              </w:rPr>
              <w:t>12.2.9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3" w:name="P418"/>
            <w:bookmarkEnd w:id="53"/>
            <w:r>
              <w:rPr>
                <w:rFonts w:asciiTheme="minorHAnsi" w:hAnsiTheme="minorHAnsi" w:cstheme="minorHAnsi"/>
                <w:szCs w:val="22"/>
                <w:lang w:eastAsia="en-US"/>
              </w:rPr>
              <w:t>12.3. О кадастровом номере и площади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54:35:041060:2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земельного участка (с указанием единицы измерения)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34428,0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13.1.1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 xml:space="preserve">Благоустройство территории включает устройство проездов и тротуаров, площадок для игр детей дошкольного и младшего школьного возраста, отдыха взрослых, хозяйственных целей, озеленения, размер которых в границах земельного участка принят по предельным минимальным размерам, установленным регламентом градостроительного плана для объектов капитального строительства с видом разрешенного использования «многоэтажная жилая застройка».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Площадки </w:t>
            </w:r>
            <w:r>
              <w:rPr>
                <w:rFonts w:asciiTheme="minorHAnsi" w:hAnsiTheme="minorHAnsi" w:cstheme="minorHAnsi"/>
                <w:color w:val="000000"/>
                <w:spacing w:val="-6"/>
                <w:szCs w:val="22"/>
                <w:lang w:eastAsia="en-US"/>
              </w:rPr>
              <w:t xml:space="preserve">оборудуются игровыми и спортивными комплексами, малыми формами, уголками отдыха,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урнами. Озеленение предусмотрено газонными травами и посадкой кустарников и лиственных деревьев. Проезды и тротуары запроектированы с твердым покрытием и установкой бетонного бортового камня. Предусмотрено наружное освещение территории.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13.1.2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Наличие парковочного пространства вне объекта строительства (расположение, планируемое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-мест)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lastRenderedPageBreak/>
              <w:t xml:space="preserve">Участок, отведенный под жилой дом, расположен на свободной от застройки средне части территории участка.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t xml:space="preserve">Участок граничит: с северной стороны – с территорией жилого дома №453 – 3-го этапа строительства, с </w:t>
            </w:r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lastRenderedPageBreak/>
              <w:t>восточной стороны – с территорией жилой застройки микрорайона, с южной – территорией жилого дома №451 – 1-го этапа строительства, с западной  - с Красным проспектом.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t xml:space="preserve"> Расчетное количе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ство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-мест размещено на открытых автостоянках в границах участка.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Санитарные разрывы от открытых автостоянок до окон жилого дома и до 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придомовых площадок, соответствуют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нормативным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. Подъезды к зданию предусмотрены по проездам 1-го этапа строительства вдоль западного и восточного фасада здания.</w:t>
            </w:r>
          </w:p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Хранение автомобилей жителей дома предусмотрено на открытых автостоянках и в подземных автостоянках (№451/1 и №453/1 согласно схемы ПЗУ) в границах отведенного участка в количестве не менее предельного минимального количества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-мест, установленного регламентом градостроительного плана и Правилами землепользования и застройки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 для объектов капитального строительства с видом разрешенного использования «многоэтажная жилая застройка». Расчетное количество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-мест для встроенных помещений общественного назначения предусмотрено по нормативам приложения 2 к Местным нормативам градостроительного проектирования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. Машино-места расположены за границами участка вдоль Красного проспекта в зоне пешеходной доступности не более 150 м.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13.1.3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Площадки для игр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детей дошкольного и младшего школьного возраста, отдыха взрослых, для занятий физ</w:t>
            </w:r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t>культурой, площади которых соответствуют расчетным показателям.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13.1.4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Сбор и вынос мусора, бытовых отходов осуществляется жителями дома в контейнеры, установленные на специальной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площадке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 на территории участка. Санитарные разрывы от открытых автостоянок, площадки для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мусоросборных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 контейнеров, выездов и вентиляционных шахт подземных автостоянок 1-го и 3-го этапов строительства до окон жилых домов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окружаюей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 застройки и до придомовых площадок соответствуют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нормативным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.</w:t>
            </w:r>
          </w:p>
          <w:p w:rsidR="003333D4" w:rsidRDefault="003333D4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Расстояния от площадок мусорных контейнеров 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до жилых домов и придомовых площадок составляют более 20 м.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13.1.5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планируемых мероприятий по озеленению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537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13.1.6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Соответствие требованиям по созданию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безбарьерной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среды для маломобильных лиц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-5"/>
              </w:rPr>
              <w:t>Проектом предусмотрены мероприятия по обеспечению прохода (МГН) инвалидов по территории</w:t>
            </w:r>
            <w:r>
              <w:rPr>
                <w:rFonts w:cstheme="minorHAnsi"/>
                <w:b/>
                <w:bCs/>
                <w:color w:val="000000"/>
                <w:spacing w:val="-10"/>
              </w:rPr>
              <w:t xml:space="preserve"> </w:t>
            </w:r>
            <w:r>
              <w:rPr>
                <w:rFonts w:cstheme="minorHAnsi"/>
                <w:color w:val="000000"/>
                <w:spacing w:val="-10"/>
              </w:rPr>
              <w:t>проектируемого участка.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1"/>
              </w:rPr>
              <w:t>Ширина тротуаров по основным пути движения МГН на территории составляет 1,5-2</w:t>
            </w:r>
            <w:r>
              <w:rPr>
                <w:rFonts w:cstheme="minorHAnsi"/>
                <w:color w:val="000000"/>
                <w:spacing w:val="-14"/>
              </w:rPr>
              <w:t xml:space="preserve"> 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-4"/>
              </w:rPr>
              <w:t>Продольные уклоны пути движения составляет 5%. поперечные уклоны - 1-2%.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3"/>
              </w:rPr>
            </w:pPr>
            <w:r>
              <w:rPr>
                <w:rFonts w:cstheme="minorHAnsi"/>
                <w:color w:val="000000"/>
                <w:spacing w:val="-3"/>
              </w:rPr>
              <w:t>Высота бордюров по краям пешеходных путей на участке принята не менее 0,05 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11"/>
              </w:rPr>
            </w:pPr>
            <w:proofErr w:type="gramStart"/>
            <w:r>
              <w:rPr>
                <w:rFonts w:cstheme="minorHAnsi"/>
                <w:color w:val="000000"/>
                <w:spacing w:val="-3"/>
              </w:rPr>
              <w:t>Тротуары и проезды выполняются с твердым покрытием, предотвращающем скольжение, что обеспечивает безопасное передвижение МГН.</w:t>
            </w:r>
            <w:proofErr w:type="gramEnd"/>
            <w:r>
              <w:rPr>
                <w:rFonts w:cstheme="minorHAnsi"/>
                <w:color w:val="000000"/>
                <w:spacing w:val="-3"/>
              </w:rPr>
              <w:t xml:space="preserve"> </w:t>
            </w:r>
            <w:r>
              <w:rPr>
                <w:rFonts w:cstheme="minorHAnsi"/>
                <w:color w:val="000000"/>
                <w:spacing w:val="3"/>
              </w:rPr>
              <w:t>Предусмотрены бордюрные пандусы</w:t>
            </w:r>
            <w:r>
              <w:rPr>
                <w:rFonts w:cstheme="minorHAnsi"/>
                <w:color w:val="000000"/>
                <w:spacing w:val="4"/>
              </w:rPr>
              <w:t xml:space="preserve"> в местах пересечения тротуаров с проезжей частью шириной не менее 1 м с </w:t>
            </w:r>
            <w:proofErr w:type="spellStart"/>
            <w:proofErr w:type="gramStart"/>
            <w:r>
              <w:rPr>
                <w:rFonts w:cstheme="minorHAnsi"/>
                <w:color w:val="000000"/>
                <w:spacing w:val="4"/>
              </w:rPr>
              <w:t>с</w:t>
            </w:r>
            <w:proofErr w:type="spellEnd"/>
            <w:proofErr w:type="gramEnd"/>
            <w:r>
              <w:rPr>
                <w:rFonts w:cstheme="minorHAnsi"/>
                <w:color w:val="000000"/>
                <w:spacing w:val="4"/>
              </w:rPr>
              <w:t xml:space="preserve"> уклоном 1:12 и устройством </w:t>
            </w:r>
            <w:r>
              <w:rPr>
                <w:rFonts w:cstheme="minorHAnsi"/>
                <w:color w:val="000000"/>
                <w:spacing w:val="-2"/>
              </w:rPr>
              <w:t xml:space="preserve">пониженного тротуарного камня высотой не более 0,015 м. </w:t>
            </w:r>
            <w:r>
              <w:rPr>
                <w:rFonts w:cstheme="minorHAnsi"/>
                <w:color w:val="000000"/>
                <w:spacing w:val="2"/>
              </w:rPr>
              <w:t>На покрытии пешеходных путей за 0,8 м до начала опасного участка, изменения направления</w:t>
            </w:r>
            <w:r>
              <w:rPr>
                <w:rFonts w:cstheme="minorHAnsi"/>
                <w:color w:val="000000"/>
                <w:spacing w:val="-3"/>
              </w:rPr>
              <w:t xml:space="preserve"> движения, перед наружными лестницами и пандусами размещены тактильные полосы</w:t>
            </w:r>
            <w:r>
              <w:rPr>
                <w:rFonts w:cstheme="minorHAnsi"/>
                <w:color w:val="000000"/>
                <w:spacing w:val="-11"/>
              </w:rPr>
              <w:t xml:space="preserve"> шириной 0,5 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11"/>
              </w:rPr>
            </w:pPr>
            <w:proofErr w:type="gramStart"/>
            <w:r>
              <w:rPr>
                <w:rFonts w:cstheme="minorHAnsi"/>
                <w:color w:val="000000"/>
                <w:spacing w:val="-11"/>
              </w:rPr>
              <w:t xml:space="preserve">На открытых автостоянках выделено не менее 10%  (от расчетного количества) 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машино</w:t>
            </w:r>
            <w:proofErr w:type="spellEnd"/>
            <w:r>
              <w:rPr>
                <w:rFonts w:cstheme="minorHAnsi"/>
                <w:color w:val="000000"/>
                <w:spacing w:val="-11"/>
              </w:rPr>
              <w:t>-мест для автотранспорта инвалидов (в том числе размером 6х3,6 м для автотранспорта инвалидов, пользующихся креслом-коляской) на расстоянии от входов в жилой дом не далее 100 м. Парковочные места для МГН обозначаются знаками на поверхности покрытия стоянки и продублированы знаками на столбе на высоте 1,5 м.</w:t>
            </w:r>
            <w:proofErr w:type="gramEnd"/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11"/>
              </w:rPr>
            </w:pPr>
            <w:r>
              <w:rPr>
                <w:rFonts w:cstheme="minorHAnsi"/>
                <w:color w:val="000000"/>
                <w:spacing w:val="-11"/>
              </w:rPr>
              <w:t>Разработаны мероприятия по обеспечению доступа инвалидов всех групп мобильности к пассажирским лифтам на первых этажах входных групп жилой части здания и во встроенные офисы на 1-м этаже здания.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-11"/>
              </w:rPr>
              <w:t xml:space="preserve">Доступ МГН во встроенные офисы предусмотрен с отметки тротуара на уровень крыльца по открытой лестнице. </w:t>
            </w:r>
            <w:proofErr w:type="gramStart"/>
            <w:r>
              <w:rPr>
                <w:rFonts w:cstheme="minorHAnsi"/>
                <w:color w:val="000000"/>
                <w:spacing w:val="-11"/>
              </w:rPr>
              <w:t xml:space="preserve">Ширина марша наружных лестниц крылец </w:t>
            </w:r>
            <w:r>
              <w:rPr>
                <w:rFonts w:cstheme="minorHAnsi"/>
                <w:spacing w:val="-4"/>
              </w:rPr>
              <w:t xml:space="preserve">составляет не менее 1,35 м, ширина проступи - 0,3 м, высота проступи </w:t>
            </w:r>
            <w:r>
              <w:rPr>
                <w:rFonts w:cstheme="minorHAnsi"/>
                <w:spacing w:val="4"/>
              </w:rPr>
              <w:t>– 0,15 м, глубина площадки при входе не менее 2,2 м, высота поручней ограждения 0,9 м.</w:t>
            </w:r>
            <w:r>
              <w:rPr>
                <w:rFonts w:cstheme="minorHAnsi"/>
                <w:color w:val="000000"/>
                <w:spacing w:val="3"/>
              </w:rPr>
              <w:t xml:space="preserve"> Лестницы входов дублируются пандусами шириной между поручнями 1 м с уклоном 5%. Поручни пандусов приняты высотой 700 и 900 мм, выходящие за пределы длины пандуса на 300 мм.</w:t>
            </w:r>
            <w:proofErr w:type="gramEnd"/>
            <w:r>
              <w:rPr>
                <w:rFonts w:cstheme="minorHAnsi"/>
                <w:color w:val="000000"/>
                <w:spacing w:val="3"/>
              </w:rPr>
              <w:t xml:space="preserve"> Боковые края пандусов имеют бортики высотой 0,1 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 xml:space="preserve">Доступ к пассажирским лифтам на первых этажах входных групп </w:t>
            </w:r>
            <w:r>
              <w:rPr>
                <w:rFonts w:cstheme="minorHAnsi"/>
                <w:spacing w:val="4"/>
              </w:rPr>
              <w:lastRenderedPageBreak/>
              <w:t xml:space="preserve">жилой части здания для МГН всех групп мобильности обеспечивается за счет устройства входов в одном уровне с общим благоустройством придомовой территории путем решений вертикальной планировки. Перепад отметок между прилегающей территорией и площадкой перед входом составляет не более 0,15 м. Площадки при входах имеют размеры не менее 2,2 х 2,2 м, поперечный уклон не более 2%, </w:t>
            </w:r>
            <w:proofErr w:type="gramStart"/>
            <w:r>
              <w:rPr>
                <w:rFonts w:cstheme="minorHAnsi"/>
                <w:spacing w:val="4"/>
              </w:rPr>
              <w:t>твердое покрытие, не допускающее скольжения при намокании и оборудуются</w:t>
            </w:r>
            <w:proofErr w:type="gramEnd"/>
            <w:r>
              <w:rPr>
                <w:rFonts w:cstheme="minorHAnsi"/>
                <w:spacing w:val="4"/>
              </w:rPr>
              <w:t xml:space="preserve"> пандусами с уклоном *% шириной 1,1 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Перед лестницами и площадками входов, доступных МГН, за 0,9 м предусмотрены тактильные полосы шириной 0,3 м. Площадки при входах оборудованы навесами с водоотводом.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spacing w:val="4"/>
              </w:rPr>
            </w:pPr>
            <w:proofErr w:type="gramStart"/>
            <w:r>
              <w:rPr>
                <w:rFonts w:cstheme="minorHAnsi"/>
                <w:color w:val="000000"/>
                <w:spacing w:val="1"/>
              </w:rPr>
              <w:t xml:space="preserve">На входах в здание для МГН предусмотрены распашные двери с порогами с высотой каждого элемента не более 0,014 м одностороннего действия шириной дверного полотна не менее 1,2 м, оборудованные специальными приспособлениями для </w:t>
            </w:r>
            <w:r>
              <w:rPr>
                <w:rFonts w:cstheme="minorHAnsi"/>
                <w:color w:val="000000"/>
                <w:spacing w:val="-1"/>
              </w:rPr>
              <w:t xml:space="preserve">фиксации полотна в положении «закрыто» и «открыто» обозначенные средствами визуальной коммуникации, а </w:t>
            </w:r>
            <w:r>
              <w:rPr>
                <w:rFonts w:cstheme="minorHAnsi"/>
                <w:color w:val="000000"/>
                <w:spacing w:val="9"/>
              </w:rPr>
              <w:t>также яркой контрастной маркировкой, расположенной на уровне 1,5 м от поверхности площадки.</w:t>
            </w:r>
            <w:proofErr w:type="gramEnd"/>
            <w:r>
              <w:rPr>
                <w:rFonts w:cstheme="minorHAnsi"/>
                <w:color w:val="000000"/>
                <w:spacing w:val="9"/>
              </w:rPr>
              <w:t xml:space="preserve"> В </w:t>
            </w:r>
            <w:r>
              <w:rPr>
                <w:rFonts w:cstheme="minorHAnsi"/>
                <w:color w:val="000000"/>
                <w:spacing w:val="1"/>
              </w:rPr>
              <w:t xml:space="preserve">полотнах наружных дверей предусмотрены смотровые панели, заполненные прозрачным и ударопрочным </w:t>
            </w:r>
            <w:r>
              <w:rPr>
                <w:rFonts w:cstheme="minorHAnsi"/>
                <w:color w:val="000000"/>
                <w:spacing w:val="-1"/>
              </w:rPr>
              <w:t xml:space="preserve">материалом, нижняя часть которых располагается в пределах 0,3-0,9 м от уровня пола. Нижняя часть дверных </w:t>
            </w:r>
            <w:r>
              <w:rPr>
                <w:rFonts w:cstheme="minorHAnsi"/>
                <w:color w:val="000000"/>
                <w:spacing w:val="-4"/>
              </w:rPr>
              <w:t xml:space="preserve">полотен на высоту не менее 0,3 м от уровня пола защищена </w:t>
            </w:r>
            <w:proofErr w:type="spellStart"/>
            <w:r>
              <w:rPr>
                <w:rFonts w:cstheme="minorHAnsi"/>
                <w:color w:val="000000"/>
                <w:spacing w:val="-4"/>
              </w:rPr>
              <w:t>противоударной</w:t>
            </w:r>
            <w:proofErr w:type="spellEnd"/>
            <w:r>
              <w:rPr>
                <w:rFonts w:cstheme="minorHAnsi"/>
                <w:color w:val="000000"/>
                <w:spacing w:val="-4"/>
              </w:rPr>
              <w:t xml:space="preserve"> полосой. Глубина входных тамбуров составляет не менее 2,3 м, ширина — 1,5 м,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Мероприятия по обеспечению доступа МГН к лифтам во входных группах 1-го этажа жилой части здания обеспечивают возможность проезда инвалидов на кресле-коляске (с сопровождающим). Пассажирские лифты предусмотрены с параметрами кабины 2,1 х 1,1 м, позволяющими транспортировку инвалида на кресле-коляске (с сопровождающим) и людей на носилках, и оборудованы двусторонней связью с диспетчером.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5"/>
              </w:rPr>
            </w:pPr>
            <w:r>
              <w:rPr>
                <w:rFonts w:cstheme="minorHAnsi"/>
                <w:color w:val="000000"/>
                <w:spacing w:val="-5"/>
              </w:rPr>
              <w:t xml:space="preserve">Расчетное количество посетителей во встроенных офисах составляет до 50 человек, расчетная продолжительность нахождения посетителей – не более 60 минут. </w:t>
            </w:r>
          </w:p>
          <w:p w:rsidR="003333D4" w:rsidRDefault="003333D4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cstheme="minorHAnsi"/>
                <w:color w:val="000000"/>
                <w:spacing w:val="-5"/>
              </w:rPr>
            </w:pPr>
            <w:r>
              <w:rPr>
                <w:rFonts w:cstheme="minorHAnsi"/>
                <w:color w:val="000000"/>
                <w:spacing w:val="-5"/>
              </w:rPr>
              <w:t>Организация рабочих мест для инвалидов во встроенных офисах</w:t>
            </w:r>
            <w:r>
              <w:rPr>
                <w:rFonts w:cstheme="minorHAnsi"/>
                <w:color w:val="000000"/>
                <w:spacing w:val="-7"/>
              </w:rPr>
              <w:t xml:space="preserve"> не предусматривается.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13.1.7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наружного освещения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Наружное освещение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в составе проекта.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Планировочная организация земельного участка обеспечивает нормативные осве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13.1.8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иных планируемых элементов благоустройства</w:t>
            </w:r>
          </w:p>
        </w:tc>
        <w:tc>
          <w:tcPr>
            <w:tcW w:w="7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4" w:name="P442"/>
            <w:bookmarkEnd w:id="54"/>
            <w:r>
              <w:rPr>
                <w:rFonts w:asciiTheme="minorHAnsi" w:hAnsiTheme="minorHAnsi" w:cstheme="minorHAnsi"/>
                <w:szCs w:val="22"/>
                <w:lang w:eastAsia="en-US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22.04.2016г.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234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22.04.2018г.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26.04.2016г.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2016-21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26.04.2019г.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69275,32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 НДС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Холодное водоснабжение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МУП г. Новосибирска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10.06.2015г.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5-14-1585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10.06.2018г.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5043460,00 руб. с НДС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Водоотведение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МУП г. Новосибирска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10.06.2015г.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5-14-1585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10.06.2018г.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9561538,44 руб. с НДС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5" w:name="P459"/>
            <w:bookmarkEnd w:id="55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14.2. О планируемом подключении к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сетям связи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14.2.1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Проводная оптоволоконная связь; проводное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телевизионное вещание; проводная связь ШПД (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широкополостного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доступа)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14.2.2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Закрытое Акционерное Общество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14.2.3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Зап-СибТранстелеком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14.2.4</w:t>
            </w:r>
          </w:p>
        </w:tc>
        <w:tc>
          <w:tcPr>
            <w:tcW w:w="6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5407205145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15.1.1</w:t>
            </w:r>
          </w:p>
        </w:tc>
        <w:tc>
          <w:tcPr>
            <w:tcW w:w="6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320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</w:t>
            </w:r>
          </w:p>
        </w:tc>
        <w:tc>
          <w:tcPr>
            <w:tcW w:w="6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нежилых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15.1.2.1</w:t>
            </w:r>
          </w:p>
        </w:tc>
        <w:tc>
          <w:tcPr>
            <w:tcW w:w="6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том числе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-мест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15.1.2.2</w:t>
            </w:r>
          </w:p>
        </w:tc>
        <w:tc>
          <w:tcPr>
            <w:tcW w:w="6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том числе иных нежилых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6" w:name="P478"/>
            <w:bookmarkEnd w:id="56"/>
            <w:r>
              <w:rPr>
                <w:rFonts w:asciiTheme="minorHAnsi" w:hAnsiTheme="minorHAnsi" w:cstheme="minorHAnsi"/>
                <w:szCs w:val="22"/>
                <w:lang w:eastAsia="en-US"/>
              </w:rPr>
              <w:t>15.2. Об основных характеристиках жилых помещений</w:t>
            </w:r>
          </w:p>
        </w:tc>
      </w:tr>
      <w:tr w:rsidR="003333D4" w:rsidTr="003333D4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Этаж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располож-ения</w:t>
            </w:r>
            <w:proofErr w:type="spellEnd"/>
            <w:proofErr w:type="gramEnd"/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комнат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комнат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3333D4" w:rsidTr="003333D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3333D4" w:rsidTr="003333D4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7" w:name="P501"/>
            <w:bookmarkEnd w:id="57"/>
            <w:r>
              <w:rPr>
                <w:rFonts w:asciiTheme="minorHAnsi" w:hAnsiTheme="minorHAnsi" w:cstheme="minorHAnsi"/>
                <w:szCs w:val="22"/>
                <w:lang w:eastAsia="en-US"/>
              </w:rPr>
              <w:t>15.3. Об основных характеристиках нежилых помещений</w:t>
            </w:r>
          </w:p>
        </w:tc>
      </w:tr>
      <w:tr w:rsidR="003333D4" w:rsidTr="003333D4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Этаж расположения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3333D4" w:rsidTr="003333D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№1.2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142,95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127,67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3,41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 №1.1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125,08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108,83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№2.2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124,77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108,52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№2.1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124,76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108,51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№3.2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72,37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60,34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№3.1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130,93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115,44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3,62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№4.2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124,55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108,30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 №4.1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125,12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108,87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№5.2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105,13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88,88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№5.1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162,16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2,48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1,89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7,50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16.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8" w:name="P518"/>
            <w:bookmarkEnd w:id="58"/>
            <w:r>
              <w:rPr>
                <w:rFonts w:asciiTheme="minorHAnsi" w:hAnsiTheme="minorHAnsi" w:cstheme="minorHAnsi"/>
                <w:szCs w:val="22"/>
                <w:lang w:eastAsia="en-US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помещения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помещения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 подполье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размещения инженерных сетей, узлов управления системы отопления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1393,76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ИТП и насосная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хозяйственно-питьевого и противопожарного водоснабжения, для горячего водоснабжения, отопления, для установки приборов учета тепла, для установки насосов для циркуляции горячей воды в магистральных сетях и стояках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100,63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Технический чердак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прокладки канализации внутреннего водостока, устройства в каждой секции общей вентиляционной шахты (для обеспечения правильной работы естественной вентиляции).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1275,69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5,55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3,26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№1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16,63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№1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29,82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машинного помещения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№1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14,14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 из машинного помещения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№1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5,55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3,26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14,58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9,52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№2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29,82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машинного помещения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№2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14,14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 из машинного помещения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№1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14,58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19,72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№3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№3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19,71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Сквозной проход - входная группа секции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14,58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№4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19,71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Для приема и распределения электроэнергии,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13,55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14,58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№5</w:t>
            </w:r>
          </w:p>
        </w:tc>
        <w:tc>
          <w:tcPr>
            <w:tcW w:w="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9" w:name="P529"/>
            <w:bookmarkEnd w:id="59"/>
            <w:r>
              <w:rPr>
                <w:rFonts w:asciiTheme="minorHAnsi" w:hAnsiTheme="minorHAnsi" w:cstheme="minorHAnsi"/>
                <w:szCs w:val="22"/>
                <w:lang w:eastAsia="en-US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оборудования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Характеристики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3333D4" w:rsidTr="003333D4">
        <w:trPr>
          <w:trHeight w:val="54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№1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1, 2</w:t>
            </w:r>
          </w:p>
        </w:tc>
      </w:tr>
      <w:tr w:rsidR="003333D4" w:rsidTr="003333D4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№2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3, 4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5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Сеть уличного освещения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Освещение игровой площадки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№1</w:t>
            </w:r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№2</w:t>
            </w:r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Вводные и распределительные панели ВРУ-1, ВРУ-2, ВРУ-3,</w:t>
            </w:r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ВРУ-4, ВРУ-5, ВРУ-6, </w:t>
            </w:r>
            <w:proofErr w:type="gramStart"/>
            <w:r>
              <w:rPr>
                <w:rFonts w:cstheme="minorHAnsi"/>
              </w:rPr>
              <w:t>ВРУ-офисов</w:t>
            </w:r>
            <w:proofErr w:type="gramEnd"/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ВРУ-1-11-20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ВРУ-1-48-03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ВРУ1-18-80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ВВГнг, ВВГнг-</w:t>
            </w:r>
            <w:proofErr w:type="gramStart"/>
            <w:r>
              <w:rPr>
                <w:rFonts w:cstheme="minorHAnsi"/>
                <w:lang w:val="en-US"/>
              </w:rPr>
              <w:t>LS</w:t>
            </w:r>
            <w:proofErr w:type="gramEnd"/>
            <w:r>
              <w:rPr>
                <w:rFonts w:cstheme="minorHAnsi"/>
              </w:rPr>
              <w:t>,</w:t>
            </w:r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ВВГнг-</w:t>
            </w:r>
            <w:proofErr w:type="gramStart"/>
            <w:r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Насосная установка WILO COR-2 </w:t>
            </w:r>
            <w:proofErr w:type="spellStart"/>
            <w:r>
              <w:rPr>
                <w:rFonts w:cstheme="minorHAnsi"/>
              </w:rPr>
              <w:t>Helix</w:t>
            </w:r>
            <w:proofErr w:type="spellEnd"/>
            <w:r>
              <w:rPr>
                <w:rFonts w:cstheme="minorHAnsi"/>
              </w:rPr>
              <w:t xml:space="preserve"> V 3604/2/K/CC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27,25 м3/час, напор - 71 м, мощность 11 кВт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системе ХВС и ГВС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Насосная установка WILO Fla-2 </w:t>
            </w:r>
            <w:proofErr w:type="spellStart"/>
            <w:r>
              <w:rPr>
                <w:rFonts w:cstheme="minorHAnsi"/>
              </w:rPr>
              <w:t>Helix</w:t>
            </w:r>
            <w:proofErr w:type="spellEnd"/>
            <w:r>
              <w:rPr>
                <w:rFonts w:cstheme="minorHAnsi"/>
              </w:rPr>
              <w:t xml:space="preserve"> 1608(К)/SK-FFS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18,72 м3/час, напор - 72 м, мощность 5,5 кВт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сети при пожаре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СПТ 941, </w:t>
            </w: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80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водопотребления всего здания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холодной воды для офисов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горячей воды для офисов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Для системы пожаротушения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Alfa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Laval</w:t>
            </w:r>
            <w:proofErr w:type="spellEnd"/>
            <w:r>
              <w:rPr>
                <w:rFonts w:cstheme="minorHAnsi"/>
              </w:rPr>
              <w:t xml:space="preserve"> R83-FG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Поддержание требуемой температуры системы отопления</w:t>
            </w:r>
          </w:p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Alfa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Laval</w:t>
            </w:r>
            <w:proofErr w:type="spellEnd"/>
            <w:r>
              <w:rPr>
                <w:rFonts w:cstheme="minorHAnsi"/>
              </w:rPr>
              <w:t xml:space="preserve"> R63-FG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Поддержание требуемой температуры системы ГВС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IPL 50/150-4/2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отопления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TOP-Z 65/10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ГВС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 </w:t>
            </w:r>
            <w:proofErr w:type="spellStart"/>
            <w:r>
              <w:rPr>
                <w:rFonts w:cstheme="minorHAnsi"/>
              </w:rPr>
              <w:t>подпиточный</w:t>
            </w:r>
            <w:proofErr w:type="spellEnd"/>
            <w:r>
              <w:rPr>
                <w:rFonts w:cstheme="minorHAnsi"/>
              </w:rPr>
              <w:t xml:space="preserve"> Ду25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TOP-S 25/13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Заполнение системы отопления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 расширительный V=600 л в комплекте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Reflex</w:t>
            </w:r>
            <w:proofErr w:type="spellEnd"/>
            <w:r>
              <w:rPr>
                <w:rFonts w:cstheme="minorHAnsi"/>
              </w:rPr>
              <w:t xml:space="preserve"> S600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Стабилизация давления в системе отопления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СПТ 941, </w:t>
            </w: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100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всего здания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отопления, в помещении ИТП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Трубопроводы отопления, горячего водоснабжения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Система автоматического регулирования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Сегнетикс</w:t>
            </w:r>
            <w:proofErr w:type="spellEnd"/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Создание и поддержание требуемых режимов теплоснабжения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Системы тепло - и водоснабжения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Трубопроводы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Стальные </w:t>
            </w:r>
            <w:proofErr w:type="spellStart"/>
            <w:r>
              <w:rPr>
                <w:rFonts w:cstheme="minorHAnsi"/>
                <w:sz w:val="20"/>
              </w:rPr>
              <w:t>водогазопроводные</w:t>
            </w:r>
            <w:proofErr w:type="spellEnd"/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Передача ресурсов потребителю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Системы тепло - и водоснабжения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Запорная арматура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Стальная, шаровая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Включение/отключение систем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bookmarkStart w:id="60" w:name="P540"/>
            <w:bookmarkEnd w:id="60"/>
            <w:r>
              <w:rPr>
                <w:rFonts w:asciiTheme="minorHAnsi" w:hAnsiTheme="minorHAnsi" w:cstheme="minorHAnsi"/>
                <w:sz w:val="20"/>
                <w:lang w:eastAsia="en-US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Вид имущества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Назначение имущества</w:t>
            </w:r>
          </w:p>
        </w:tc>
        <w:tc>
          <w:tcPr>
            <w:tcW w:w="99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Описание места расположения имущества</w:t>
            </w:r>
          </w:p>
        </w:tc>
      </w:tr>
      <w:tr w:rsidR="003333D4" w:rsidTr="003333D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99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bookmarkStart w:id="61" w:name="P550"/>
            <w:bookmarkEnd w:id="61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17.1. О примерном графике реализации проекта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17.1.1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процентов готовности – август 2017г.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40</w:t>
            </w:r>
            <w:r>
              <w:rPr>
                <w:sz w:val="20"/>
                <w:lang w:eastAsia="en-US"/>
              </w:rPr>
              <w:t xml:space="preserve"> процентов готовности – декабрь 2017г.</w:t>
            </w:r>
          </w:p>
          <w:p w:rsidR="003333D4" w:rsidRDefault="003333D4">
            <w:pPr>
              <w:pStyle w:val="ConsPlusNormal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 процентов готовности – апрель 2018г.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процентов готовности – август 2018г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17.1.2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 w:val="20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IV 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квартал 2018г.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333D4" w:rsidTr="003333D4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18.1.1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Планируемая стоимость строительства (руб.)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эскроу</w:t>
            </w:r>
            <w:proofErr w:type="spellEnd"/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2" w:name="P560"/>
            <w:bookmarkEnd w:id="62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Страхование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3" w:name="P563"/>
            <w:bookmarkEnd w:id="63"/>
            <w:r>
              <w:rPr>
                <w:rFonts w:asciiTheme="minorHAnsi" w:hAnsiTheme="minorHAnsi" w:cstheme="minorHAnsi"/>
                <w:szCs w:val="22"/>
                <w:lang w:eastAsia="en-US"/>
              </w:rPr>
              <w:t>19.1.2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Style w:val="a9"/>
                <w:rFonts w:asciiTheme="minorHAnsi" w:hAnsiTheme="minorHAnsi" w:cstheme="minorHAnsi"/>
                <w:b w:val="0"/>
                <w:szCs w:val="22"/>
                <w:lang w:eastAsia="en-US"/>
              </w:rPr>
              <w:t>54:35:041060:2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4" w:name="P565"/>
            <w:bookmarkEnd w:id="6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16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5" w:name="P574"/>
            <w:bookmarkEnd w:id="65"/>
            <w:r>
              <w:rPr>
                <w:rFonts w:asciiTheme="minorHAnsi" w:hAnsiTheme="minorHAnsi" w:cstheme="minorHAnsi"/>
                <w:szCs w:val="22"/>
                <w:lang w:eastAsia="en-US"/>
              </w:rPr>
              <w:t>20.1.1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соглашения или сделки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20.1.4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20.1.5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20.1.6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6" w:name="P586"/>
            <w:bookmarkEnd w:id="66"/>
            <w:r>
              <w:rPr>
                <w:rFonts w:asciiTheme="minorHAnsi" w:hAnsiTheme="minorHAnsi" w:cstheme="minorHAnsi"/>
                <w:szCs w:val="22"/>
                <w:lang w:eastAsia="en-US"/>
              </w:rPr>
              <w:t>20.1.7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Кадастровый номер земельного участка, являющегося предметом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залога в обеспечение исполнения обязательства по возврату привлеченных средств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7" w:name="P588"/>
            <w:bookmarkEnd w:id="67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8" w:name="P590"/>
            <w:bookmarkEnd w:id="68"/>
            <w:r>
              <w:rPr>
                <w:rFonts w:asciiTheme="minorHAnsi" w:hAnsiTheme="minorHAnsi" w:cstheme="minorHAnsi"/>
                <w:szCs w:val="22"/>
                <w:lang w:eastAsia="en-US"/>
              </w:rPr>
              <w:t>21.1.1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21.3.4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21.3.5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21.3.6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21.3.7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21.3.8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21.3.9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+7(383)347-81-01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-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21.4.3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hyperlink r:id="rId12" w:history="1">
              <w:r>
                <w:rPr>
                  <w:rStyle w:val="a3"/>
                  <w:rFonts w:asciiTheme="minorHAnsi" w:eastAsiaTheme="majorEastAsia" w:hAnsiTheme="minorHAnsi" w:cstheme="minorHAnsi"/>
                  <w:szCs w:val="22"/>
                  <w:lang w:eastAsia="en-US"/>
                </w:rPr>
                <w:t>www.em-nsk.ru</w:t>
              </w:r>
            </w:hyperlink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9" w:name="P628"/>
            <w:bookmarkEnd w:id="69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застройщика и связанных с застройщиком юридических лиц,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соответствующем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0" w:name="P630"/>
            <w:bookmarkEnd w:id="70"/>
            <w:r>
              <w:rPr>
                <w:rFonts w:asciiTheme="minorHAnsi" w:hAnsiTheme="minorHAnsi" w:cstheme="minorHAnsi"/>
                <w:szCs w:val="22"/>
                <w:lang w:eastAsia="en-US"/>
              </w:rPr>
              <w:t>22.1.1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250 000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1" w:name="P632"/>
            <w:bookmarkEnd w:id="71"/>
            <w:r>
              <w:rPr>
                <w:rFonts w:asciiTheme="minorHAnsi" w:hAnsiTheme="minorHAnsi" w:cstheme="minorHAnsi"/>
                <w:szCs w:val="22"/>
                <w:lang w:eastAsia="en-US"/>
              </w:rPr>
              <w:t>22.1.2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2" w:name="P634"/>
            <w:bookmarkEnd w:id="72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декларациями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которые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3" w:name="P637"/>
            <w:bookmarkEnd w:id="73"/>
            <w:r>
              <w:rPr>
                <w:rFonts w:asciiTheme="minorHAnsi" w:hAnsiTheme="minorHAnsi" w:cstheme="minorHAnsi"/>
                <w:szCs w:val="22"/>
                <w:lang w:eastAsia="en-US"/>
              </w:rPr>
              <w:t>23.1.1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67726,78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4" w:name="P639"/>
            <w:bookmarkEnd w:id="74"/>
            <w:r>
              <w:rPr>
                <w:rFonts w:asciiTheme="minorHAnsi" w:hAnsiTheme="minorHAnsi" w:cstheme="minorHAnsi"/>
                <w:szCs w:val="22"/>
                <w:lang w:eastAsia="en-US"/>
              </w:rPr>
              <w:t>23.1.2</w:t>
            </w:r>
          </w:p>
        </w:tc>
        <w:tc>
          <w:tcPr>
            <w:tcW w:w="6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24.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долевом строительстве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333D4" w:rsidTr="003333D4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24.1. О виде, назначении объекта социальной инфраструктуры.</w:t>
            </w:r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 указанных в </w:t>
            </w:r>
            <w:hyperlink r:id="rId1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частях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4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4 статьи 18.1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 целях затрат застройщика из числа целей, указанных в </w:t>
            </w:r>
            <w:hyperlink r:id="rId15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пунктах 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- </w:t>
            </w:r>
            <w:hyperlink r:id="rId1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10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7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12 части 1 статьи 18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Федерации" о планируемых размерах таких затрат, в том числе с указанием целей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5" w:name="P645"/>
            <w:bookmarkEnd w:id="75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24.1.1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24.1.2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социальной инфраструктуры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24.1.3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 социальной инфраструктуры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6" w:name="P651"/>
            <w:bookmarkEnd w:id="76"/>
            <w:r>
              <w:rPr>
                <w:rFonts w:asciiTheme="minorHAnsi" w:hAnsiTheme="minorHAnsi" w:cstheme="minorHAnsi"/>
                <w:szCs w:val="22"/>
                <w:lang w:eastAsia="en-US"/>
              </w:rPr>
              <w:t>24.1.4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24.1.5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24.1.6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7" w:name="P657"/>
            <w:bookmarkEnd w:id="77"/>
            <w:r>
              <w:rPr>
                <w:rFonts w:asciiTheme="minorHAnsi" w:hAnsiTheme="minorHAnsi" w:cstheme="minorHAnsi"/>
                <w:szCs w:val="22"/>
                <w:lang w:eastAsia="en-US"/>
              </w:rPr>
              <w:t>24.1.7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8" w:name="P659"/>
            <w:bookmarkEnd w:id="78"/>
            <w:r>
              <w:rPr>
                <w:rFonts w:asciiTheme="minorHAnsi" w:hAnsiTheme="minorHAnsi" w:cstheme="minorHAnsi"/>
                <w:szCs w:val="22"/>
                <w:lang w:eastAsia="en-US"/>
              </w:rPr>
              <w:t>24.1.8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7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Планируемые затраты застройщика</w:t>
            </w:r>
          </w:p>
        </w:tc>
      </w:tr>
      <w:tr w:rsidR="003333D4" w:rsidTr="003333D4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D4" w:rsidRDefault="003333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7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  <w:p w:rsidR="003333D4" w:rsidRDefault="003333D4">
            <w:pPr>
              <w:pStyle w:val="ConsPlusNormal"/>
              <w:ind w:firstLine="69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 (создание) одного многоквартирного дома и (или) иного объекта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(создание);</w:t>
            </w:r>
          </w:p>
          <w:p w:rsidR="003333D4" w:rsidRDefault="003333D4">
            <w:pPr>
              <w:pStyle w:val="ConsPlusNormal"/>
              <w:ind w:firstLine="69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указанных в </w:t>
            </w:r>
            <w:hyperlink r:id="rId18" w:anchor="Par1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>
              <w:rPr>
                <w:lang w:eastAsia="en-US"/>
              </w:rPr>
              <w:t xml:space="preserve"> или </w:t>
            </w:r>
            <w:hyperlink r:id="rId19" w:anchor="Par2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настоящей части многоквартирных домов и (или) иных объектов недвижимости, на уплату арендной платы за такие земельные участки;</w:t>
            </w:r>
          </w:p>
          <w:p w:rsidR="003333D4" w:rsidRDefault="003333D4">
            <w:pPr>
              <w:pStyle w:val="ConsPlusNormal"/>
              <w:ind w:firstLine="69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Возмещение затрат на подготовку проектной документации и выполнение инженерных изысканий для строительства (создания) </w:t>
            </w:r>
            <w:r>
              <w:rPr>
                <w:lang w:eastAsia="en-US"/>
              </w:rPr>
              <w:lastRenderedPageBreak/>
              <w:t xml:space="preserve">указанных в </w:t>
            </w:r>
            <w:hyperlink r:id="rId20" w:anchor="Par1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>
              <w:rPr>
                <w:lang w:eastAsia="en-US"/>
              </w:rPr>
              <w:t xml:space="preserve"> или </w:t>
            </w:r>
            <w:hyperlink r:id="rId21" w:anchor="Par2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настоящей части многоквартирных домов и (или) иных объектов недвижимости,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      </w:r>
            <w:proofErr w:type="gramEnd"/>
          </w:p>
          <w:p w:rsidR="003333D4" w:rsidRDefault="003333D4">
            <w:pPr>
              <w:pStyle w:val="ConsPlusNormal"/>
              <w:ind w:firstLine="69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указанных в </w:t>
            </w:r>
            <w:hyperlink r:id="rId22" w:anchor="Par1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>
              <w:rPr>
                <w:lang w:eastAsia="en-US"/>
              </w:rPr>
              <w:t xml:space="preserve"> или </w:t>
            </w:r>
            <w:hyperlink r:id="rId23" w:anchor="Par2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настоящей части многоквартирных домов и (или) иных объектов недвижимости к таким сетям инженерно-технического обеспечения, если это предусмотрено соответствующей проектной документацией, или возмещение затрат на строительство, реконструкцию таких сетей инженерно-технического обеспечения;</w:t>
            </w:r>
            <w:proofErr w:type="gramEnd"/>
          </w:p>
          <w:p w:rsidR="003333D4" w:rsidRDefault="003333D4">
            <w:pPr>
              <w:pStyle w:val="ConsPlusNormal"/>
              <w:ind w:firstLine="695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Внесение платы за подключение (технологическое присоединение) указанных в </w:t>
            </w:r>
            <w:hyperlink r:id="rId24" w:anchor="Par1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>
              <w:rPr>
                <w:lang w:eastAsia="en-US"/>
              </w:rPr>
              <w:t xml:space="preserve"> или </w:t>
            </w:r>
            <w:hyperlink r:id="rId25" w:anchor="Par2" w:history="1">
              <w:r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настоящей части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</w:t>
            </w:r>
          </w:p>
        </w:tc>
      </w:tr>
      <w:tr w:rsidR="003333D4" w:rsidTr="003333D4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333D4" w:rsidTr="003333D4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25.1.1</w:t>
            </w:r>
          </w:p>
        </w:tc>
        <w:tc>
          <w:tcPr>
            <w:tcW w:w="11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Иная информация о проекте</w:t>
            </w:r>
          </w:p>
        </w:tc>
      </w:tr>
    </w:tbl>
    <w:p w:rsidR="003333D4" w:rsidRDefault="003333D4" w:rsidP="003333D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133"/>
        <w:gridCol w:w="4253"/>
        <w:gridCol w:w="9249"/>
      </w:tblGrid>
      <w:tr w:rsidR="003333D4" w:rsidTr="003333D4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Сведения о фактах внесения изменений в проектную документацию</w:t>
            </w:r>
          </w:p>
        </w:tc>
      </w:tr>
      <w:tr w:rsidR="003333D4" w:rsidTr="003333D4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Раздел. 26 Сведения о фактах внесения изменений в проектную документацию</w:t>
            </w:r>
          </w:p>
        </w:tc>
      </w:tr>
      <w:tr w:rsidR="003333D4" w:rsidTr="003333D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раздела проектной документации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изменений</w:t>
            </w:r>
          </w:p>
        </w:tc>
      </w:tr>
      <w:tr w:rsidR="003333D4" w:rsidTr="003333D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4" w:rsidRDefault="003333D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</w:tbl>
    <w:p w:rsidR="003333D4" w:rsidRDefault="003333D4" w:rsidP="003333D4">
      <w:pPr>
        <w:spacing w:after="0" w:line="240" w:lineRule="auto"/>
        <w:jc w:val="both"/>
        <w:rPr>
          <w:rFonts w:cstheme="minorHAnsi"/>
        </w:rPr>
      </w:pPr>
    </w:p>
    <w:p w:rsidR="003333D4" w:rsidRDefault="003333D4" w:rsidP="003333D4">
      <w:pPr>
        <w:spacing w:after="0" w:line="240" w:lineRule="auto"/>
        <w:jc w:val="both"/>
        <w:rPr>
          <w:rFonts w:cstheme="minorHAnsi"/>
        </w:rPr>
      </w:pPr>
    </w:p>
    <w:p w:rsidR="003333D4" w:rsidRDefault="003333D4" w:rsidP="003333D4">
      <w:pPr>
        <w:spacing w:after="0" w:line="240" w:lineRule="auto"/>
        <w:rPr>
          <w:rFonts w:cstheme="minorHAnsi"/>
        </w:rPr>
        <w:sectPr w:rsidR="003333D4">
          <w:pgSz w:w="16840" w:h="11905" w:orient="landscape"/>
          <w:pgMar w:top="1134" w:right="567" w:bottom="567" w:left="567" w:header="0" w:footer="0" w:gutter="0"/>
          <w:cols w:space="720"/>
        </w:sectPr>
      </w:pPr>
    </w:p>
    <w:p w:rsidR="003333D4" w:rsidRDefault="003333D4" w:rsidP="003333D4"/>
    <w:p w:rsidR="005247EF" w:rsidRDefault="005247EF"/>
    <w:sectPr w:rsidR="005247EF" w:rsidSect="000E0E3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2"/>
    <w:rsid w:val="000E0E35"/>
    <w:rsid w:val="003333D4"/>
    <w:rsid w:val="00386872"/>
    <w:rsid w:val="005238F6"/>
    <w:rsid w:val="005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3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3333D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3333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33D4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3333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3333D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3D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3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3D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3D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33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3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3333D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3333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33D4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3333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3333D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3D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3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3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3D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3D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33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13" Type="http://schemas.openxmlformats.org/officeDocument/2006/relationships/hyperlink" Target="consultantplus://offline/ref=45E0CA201DD0CAA515D28DC54A06FBBF14DFF5F470247C1C7FD41C8DF3246DF73C3F8AC9C7uA42J" TargetMode="External"/><Relationship Id="rId18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7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12" Type="http://schemas.openxmlformats.org/officeDocument/2006/relationships/hyperlink" Target="http://www.em-nsk.ru" TargetMode="External"/><Relationship Id="rId17" Type="http://schemas.openxmlformats.org/officeDocument/2006/relationships/hyperlink" Target="consultantplus://offline/ref=45E0CA201DD0CAA515D28DC54A06FBBF14DFF5F470247C1C7FD41C8DF3246DF73C3F8AC9C6uA43J" TargetMode="External"/><Relationship Id="rId25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E0CA201DD0CAA515D28DC54A06FBBF14DFF5F470247C1C7FD41C8DF3246DF73C3F8AC9C6uA4DJ" TargetMode="External"/><Relationship Id="rId20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C65ED369CC030402A11E37684EE16526A20561C4E7E2ACC6ED4A1F03D5C54FC64F0F2Ct248J" TargetMode="External"/><Relationship Id="rId11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24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E0CA201DD0CAA515D28DC54A06FBBF14DFF5F470247C1C7FD41C8DF3246DF73C3F8AC9C6uA4FJ" TargetMode="External"/><Relationship Id="rId23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10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19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C65ED369CC030402A11E37684EE16526A20561C4E7E2ACC6ED4A1F03D5C54FC64F0F27t24AJ" TargetMode="External"/><Relationship Id="rId14" Type="http://schemas.openxmlformats.org/officeDocument/2006/relationships/hyperlink" Target="consultantplus://offline/ref=45E0CA201DD0CAA515D28DC54A06FBBF14DFF5F470247C1C7FD41C8DF3246DF73C3F8AC9C7uA43J" TargetMode="External"/><Relationship Id="rId22" Type="http://schemas.openxmlformats.org/officeDocument/2006/relationships/hyperlink" Target="file:///Z:\&#1048;&#1053;&#1042;&#1045;&#1057;&#1058;&#1048;&#1062;&#1048;&#1048;%20452\!&#1044;&#1086;&#1082;&#1091;&#1084;&#1077;&#1085;&#1090;&#1099;%20&#1085;&#1072;%20&#1076;&#1086;&#1084;\&#1055;&#1088;&#1086;&#1077;&#1082;&#1090;&#1085;&#1072;&#1103;%20&#1076;&#1077;&#1082;&#1083;&#1072;&#1088;&#1072;&#1094;&#1080;&#1103;%2018.05.2017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22667</Words>
  <Characters>129204</Characters>
  <Application>Microsoft Office Word</Application>
  <DocSecurity>0</DocSecurity>
  <Lines>1076</Lines>
  <Paragraphs>303</Paragraphs>
  <ScaleCrop>false</ScaleCrop>
  <Company/>
  <LinksUpToDate>false</LinksUpToDate>
  <CharactersWithSpaces>151568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Salers-1</dc:creator>
  <cp:keywords/>
  <dc:description/>
  <cp:lastModifiedBy>Salers-1</cp:lastModifiedBy>
  <cp:revision>3</cp:revision>
  <dcterms:created xsi:type="dcterms:W3CDTF">2017-11-22T03:14:00Z</dcterms:created>
  <dcterms:modified xsi:type="dcterms:W3CDTF">2017-11-22T03:16:00Z</dcterms:modified>
</cp:coreProperties>
</file>